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6A215" w14:textId="77777777" w:rsidR="004B0C49" w:rsidRPr="00FD7F6E" w:rsidRDefault="004B0C49" w:rsidP="004B0C4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D7F6E">
        <w:rPr>
          <w:b/>
          <w:sz w:val="28"/>
          <w:szCs w:val="28"/>
        </w:rPr>
        <w:t>PUBLIC POLICIES REPO</w:t>
      </w:r>
    </w:p>
    <w:p w14:paraId="3F14D57F" w14:textId="77777777" w:rsidR="00B10356" w:rsidRPr="00FD7F6E" w:rsidRDefault="004B0C49" w:rsidP="004B0C49">
      <w:pPr>
        <w:jc w:val="center"/>
        <w:rPr>
          <w:b/>
          <w:sz w:val="28"/>
          <w:szCs w:val="28"/>
        </w:rPr>
      </w:pPr>
      <w:r w:rsidRPr="00FD7F6E">
        <w:rPr>
          <w:b/>
          <w:sz w:val="28"/>
          <w:szCs w:val="28"/>
        </w:rPr>
        <w:t>PRESENTATION OF A POWERFUL TOOL AT THE JUNCTION OF GOVERNMENT &amp; CIVIL SOCIETY</w:t>
      </w:r>
    </w:p>
    <w:p w14:paraId="1D4F491F" w14:textId="77777777" w:rsidR="004B0C49" w:rsidRPr="004B0C49" w:rsidRDefault="004B0C49"/>
    <w:p w14:paraId="05B4F7E4" w14:textId="77777777" w:rsidR="004B0C49" w:rsidRDefault="004B0C49"/>
    <w:p w14:paraId="0A96A033" w14:textId="77777777" w:rsidR="004B0C49" w:rsidRDefault="004B0C49" w:rsidP="00BC4BCB">
      <w:pPr>
        <w:jc w:val="both"/>
      </w:pPr>
      <w:r>
        <w:t>In the “</w:t>
      </w:r>
      <w:r w:rsidRPr="00BC4BCB">
        <w:rPr>
          <w:i/>
        </w:rPr>
        <w:t>Guidelines for EU support to civil society in Enlargement countries, 2014 – 2020</w:t>
      </w:r>
      <w:r>
        <w:t>”, published by DG Enlargement in October 2013, the EU Commission qualifies of “</w:t>
      </w:r>
      <w:r w:rsidRPr="00BC4BCB">
        <w:rPr>
          <w:i/>
        </w:rPr>
        <w:t>critical importance</w:t>
      </w:r>
      <w:r>
        <w:t>” the existence of “…</w:t>
      </w:r>
      <w:r w:rsidRPr="00BC4BCB">
        <w:rPr>
          <w:i/>
        </w:rPr>
        <w:t>structures and mechanisms for Civil Society cooperation with Public Institutions, that allows for free, clear and accessible flow of information on matters of public interest</w:t>
      </w:r>
      <w:r>
        <w:t>”.</w:t>
      </w:r>
    </w:p>
    <w:p w14:paraId="4F8C8B1C" w14:textId="77777777" w:rsidR="004B0C49" w:rsidRDefault="004B0C49" w:rsidP="00BC4BCB">
      <w:pPr>
        <w:jc w:val="both"/>
      </w:pPr>
    </w:p>
    <w:p w14:paraId="5DC18F0E" w14:textId="54AC063A" w:rsidR="004B0C49" w:rsidRDefault="004B0C49" w:rsidP="00BC4BCB">
      <w:pPr>
        <w:jc w:val="both"/>
      </w:pPr>
      <w:r>
        <w:t xml:space="preserve">The Albanian Government has indicated its firm commitment through the initiation and establishment of different initiatives and structures, immediately after. The most important are the creation </w:t>
      </w:r>
      <w:r w:rsidR="00BC4BCB">
        <w:t xml:space="preserve">last October </w:t>
      </w:r>
      <w:r>
        <w:t>of the ad-hoc Working Group on Civil Society directly under the PMO; and the preparation of the R</w:t>
      </w:r>
      <w:r w:rsidR="00BC4BCB">
        <w:t>o</w:t>
      </w:r>
      <w:r>
        <w:t>ad Map on Enabling a Favourable Environment for the Civil Society in Albania.</w:t>
      </w:r>
    </w:p>
    <w:p w14:paraId="6599FCC7" w14:textId="77777777" w:rsidR="004B0C49" w:rsidRDefault="004B0C49" w:rsidP="00BC4BCB">
      <w:pPr>
        <w:jc w:val="both"/>
      </w:pPr>
    </w:p>
    <w:p w14:paraId="5F833F53" w14:textId="77777777" w:rsidR="004B0C49" w:rsidRDefault="00EA6DD2" w:rsidP="00BC4BCB">
      <w:pPr>
        <w:jc w:val="both"/>
      </w:pPr>
      <w:r>
        <w:t>Today’s presentation introduces the most recent Civil Society contribution to this dynamics.</w:t>
      </w:r>
    </w:p>
    <w:p w14:paraId="4921359C" w14:textId="77777777" w:rsidR="00EA6DD2" w:rsidRDefault="00EA6DD2" w:rsidP="00BC4BCB">
      <w:pPr>
        <w:jc w:val="both"/>
      </w:pPr>
    </w:p>
    <w:p w14:paraId="1A126F13" w14:textId="0328A197" w:rsidR="00EA6DD2" w:rsidRDefault="00EA6DD2" w:rsidP="00BC4BCB">
      <w:pPr>
        <w:jc w:val="both"/>
      </w:pPr>
      <w:r>
        <w:t xml:space="preserve">From its beginnings in February 2013, we have built ShtetiWeb portal as an interactive platform where </w:t>
      </w:r>
      <w:r w:rsidR="00BC57EA">
        <w:t>civil society and public institutions work in partnership through transparency, dialogue and cooperation.</w:t>
      </w:r>
      <w:r w:rsidR="00780C22">
        <w:t xml:space="preserve"> </w:t>
      </w:r>
      <w:r w:rsidR="00BC4BCB">
        <w:t>Now</w:t>
      </w:r>
      <w:r w:rsidR="00780C22">
        <w:t xml:space="preserve"> ShtetiWeb </w:t>
      </w:r>
      <w:r w:rsidR="00BC4BCB">
        <w:t>has an archive of</w:t>
      </w:r>
      <w:r w:rsidR="00780C22">
        <w:t xml:space="preserve"> 1</w:t>
      </w:r>
      <w:r w:rsidR="005A0723">
        <w:t xml:space="preserve">,956 documents, </w:t>
      </w:r>
      <w:r w:rsidR="00BC4BCB">
        <w:t>and totals</w:t>
      </w:r>
      <w:r w:rsidR="005A0723">
        <w:t xml:space="preserve"> 460,000 visitors</w:t>
      </w:r>
      <w:r w:rsidR="00BC4BCB">
        <w:t xml:space="preserve"> up today</w:t>
      </w:r>
      <w:r w:rsidR="005A0723">
        <w:t xml:space="preserve"> for an average of 24,000 visitors a month.</w:t>
      </w:r>
    </w:p>
    <w:p w14:paraId="503BF7BB" w14:textId="77777777" w:rsidR="00BC57EA" w:rsidRDefault="00BC57EA" w:rsidP="00BC4BCB">
      <w:pPr>
        <w:jc w:val="both"/>
      </w:pPr>
    </w:p>
    <w:p w14:paraId="7E0145EA" w14:textId="25B3F51B" w:rsidR="00780C22" w:rsidRDefault="00BC57EA" w:rsidP="00BC4BCB">
      <w:pPr>
        <w:jc w:val="both"/>
      </w:pPr>
      <w:r>
        <w:t xml:space="preserve">We started </w:t>
      </w:r>
      <w:r w:rsidR="00BC4BCB">
        <w:t>Shtetiweb because of</w:t>
      </w:r>
      <w:r>
        <w:t xml:space="preserve"> the need to offer a unique address for </w:t>
      </w:r>
      <w:r w:rsidR="00E76D2E">
        <w:t xml:space="preserve">stakeholders where they could find relevant documentation about the Albanian state from the </w:t>
      </w:r>
      <w:r w:rsidR="00BC4BCB">
        <w:t xml:space="preserve">its </w:t>
      </w:r>
      <w:r w:rsidR="00E76D2E">
        <w:t>beginning. To this goal, and after a long period of research, interviews and meetings we created the architecture of ShtetiWeb.</w:t>
      </w:r>
    </w:p>
    <w:p w14:paraId="34FB6662" w14:textId="77777777" w:rsidR="00E76D2E" w:rsidRDefault="00E76D2E" w:rsidP="00BC4BCB">
      <w:pPr>
        <w:jc w:val="both"/>
      </w:pPr>
    </w:p>
    <w:p w14:paraId="279B93E2" w14:textId="1ACF2E95" w:rsidR="00BC57EA" w:rsidRDefault="00E76D2E" w:rsidP="00BC4BCB">
      <w:pPr>
        <w:jc w:val="both"/>
      </w:pPr>
      <w:r>
        <w:t xml:space="preserve">I must underline at this point that </w:t>
      </w:r>
      <w:r w:rsidR="00EB1A01">
        <w:t>we do not pretend</w:t>
      </w:r>
      <w:r>
        <w:t xml:space="preserve"> by </w:t>
      </w:r>
      <w:r w:rsidR="00A6765B">
        <w:t>any</w:t>
      </w:r>
      <w:r>
        <w:t xml:space="preserve"> means </w:t>
      </w:r>
      <w:r w:rsidR="00A6765B">
        <w:t xml:space="preserve">that this is </w:t>
      </w:r>
      <w:r>
        <w:t>the best way to present the information</w:t>
      </w:r>
      <w:r w:rsidR="00EB1A01">
        <w:t>,</w:t>
      </w:r>
      <w:r>
        <w:t xml:space="preserve"> neither </w:t>
      </w:r>
      <w:r w:rsidR="00A6765B">
        <w:t xml:space="preserve">that </w:t>
      </w:r>
      <w:r>
        <w:t xml:space="preserve">the list of documents </w:t>
      </w:r>
      <w:r w:rsidR="00A6765B">
        <w:t xml:space="preserve">stored in ShtetiWeb </w:t>
      </w:r>
      <w:r>
        <w:t>is exhausti</w:t>
      </w:r>
      <w:r w:rsidR="00A6765B">
        <w:t xml:space="preserve">ve. However </w:t>
      </w:r>
      <w:r w:rsidR="00BC4BCB">
        <w:t>what we offer,</w:t>
      </w:r>
      <w:r w:rsidR="00A6765B">
        <w:t xml:space="preserve"> delimitates the </w:t>
      </w:r>
      <w:r>
        <w:t xml:space="preserve">scope and </w:t>
      </w:r>
      <w:r w:rsidR="00A6765B">
        <w:t>provides a faithful representation of major documentary archive produced for</w:t>
      </w:r>
      <w:r w:rsidR="00BC4BCB">
        <w:t>,</w:t>
      </w:r>
      <w:r w:rsidR="00A6765B">
        <w:t xml:space="preserve"> and by the Albanian state.</w:t>
      </w:r>
    </w:p>
    <w:p w14:paraId="582747C8" w14:textId="77777777" w:rsidR="00A6765B" w:rsidRDefault="00A6765B" w:rsidP="00BC4BCB">
      <w:pPr>
        <w:jc w:val="both"/>
      </w:pPr>
    </w:p>
    <w:p w14:paraId="07BC590A" w14:textId="5692366A" w:rsidR="00A6765B" w:rsidRDefault="00BC4BCB" w:rsidP="00BC4BCB">
      <w:pPr>
        <w:jc w:val="both"/>
      </w:pPr>
      <w:r>
        <w:t xml:space="preserve">Practically, </w:t>
      </w:r>
      <w:r w:rsidR="00A6765B">
        <w:t xml:space="preserve">ShtetiWeb organises in one </w:t>
      </w:r>
      <w:r>
        <w:t>web address</w:t>
      </w:r>
      <w:r w:rsidR="00A6765B">
        <w:t xml:space="preserve"> the Public Policies, the State Reform and offers a platform for public consultation and participation.</w:t>
      </w:r>
    </w:p>
    <w:p w14:paraId="58626DC8" w14:textId="77777777" w:rsidR="00A6765B" w:rsidRDefault="00A6765B" w:rsidP="00BC4BCB">
      <w:pPr>
        <w:jc w:val="both"/>
      </w:pPr>
    </w:p>
    <w:p w14:paraId="3869AF7F" w14:textId="0006D54C" w:rsidR="00A6765B" w:rsidRDefault="00780C22" w:rsidP="00BC4BCB">
      <w:pPr>
        <w:jc w:val="both"/>
      </w:pPr>
      <w:r>
        <w:t>In the main menu, we have organised the information according to the pillars of the modern state: Public Institutions, Public Policies, Public Administration, Public Finances and Reform of the State. They are composed by sub-categories that provide sets of documents, including explanatory ones, on the main subject.</w:t>
      </w:r>
    </w:p>
    <w:p w14:paraId="32F870A9" w14:textId="77777777" w:rsidR="00780C22" w:rsidRDefault="00780C22" w:rsidP="00BC4BCB">
      <w:pPr>
        <w:jc w:val="both"/>
      </w:pPr>
    </w:p>
    <w:p w14:paraId="2131662E" w14:textId="45F8A344" w:rsidR="00780C22" w:rsidRDefault="00567CD7" w:rsidP="00BC4BCB">
      <w:pPr>
        <w:pStyle w:val="ListParagraph"/>
        <w:numPr>
          <w:ilvl w:val="0"/>
          <w:numId w:val="4"/>
        </w:numPr>
        <w:jc w:val="both"/>
      </w:pPr>
      <w:r>
        <w:t>In the Public Policies pillar, we have grouped the</w:t>
      </w:r>
      <w:r w:rsidR="005E7750">
        <w:t xml:space="preserve"> documents in 10 sectors - HERE.</w:t>
      </w:r>
    </w:p>
    <w:p w14:paraId="4389939B" w14:textId="55F2168F" w:rsidR="005E7750" w:rsidRDefault="005E7750" w:rsidP="00BC4BCB">
      <w:pPr>
        <w:pStyle w:val="ListParagraph"/>
        <w:numPr>
          <w:ilvl w:val="0"/>
          <w:numId w:val="4"/>
        </w:numPr>
        <w:jc w:val="both"/>
      </w:pPr>
      <w:r>
        <w:t>In the Reform of the State we have created specific files for the most important reforms as you may see – HERE</w:t>
      </w:r>
    </w:p>
    <w:p w14:paraId="7D0C71D6" w14:textId="21B5137C" w:rsidR="005E7750" w:rsidRDefault="005E7750" w:rsidP="00BC4BCB">
      <w:pPr>
        <w:pStyle w:val="ListParagraph"/>
        <w:numPr>
          <w:ilvl w:val="0"/>
          <w:numId w:val="4"/>
        </w:numPr>
        <w:jc w:val="both"/>
      </w:pPr>
      <w:r>
        <w:lastRenderedPageBreak/>
        <w:t>The actuality is reflected in the rubrique IN FOCUS, composed by the FACT= information, and the ARGUMENT=analysis</w:t>
      </w:r>
    </w:p>
    <w:p w14:paraId="67BEE71C" w14:textId="77777777" w:rsidR="005E7750" w:rsidRDefault="005E7750" w:rsidP="00BC4BCB">
      <w:pPr>
        <w:jc w:val="both"/>
      </w:pPr>
    </w:p>
    <w:p w14:paraId="3AB94E9E" w14:textId="676332D5" w:rsidR="005E7750" w:rsidRDefault="005E7750" w:rsidP="00BC4BCB">
      <w:pPr>
        <w:jc w:val="both"/>
      </w:pPr>
      <w:r>
        <w:t xml:space="preserve">Given the importance of the </w:t>
      </w:r>
      <w:r w:rsidR="00155604">
        <w:t xml:space="preserve">state </w:t>
      </w:r>
      <w:r>
        <w:t xml:space="preserve">reforms implemented or under implementation from Rama Government, </w:t>
      </w:r>
      <w:r w:rsidR="00155604">
        <w:t xml:space="preserve">we have stressed this topic by creating a horizontal </w:t>
      </w:r>
      <w:r w:rsidR="00BC4BCB">
        <w:t>band</w:t>
      </w:r>
      <w:r w:rsidR="00155604">
        <w:t xml:space="preserve">, where we have </w:t>
      </w:r>
      <w:r w:rsidR="009E6CB4">
        <w:t>included information about the State, the Reforms of the State, and the Territorial and Administrative Reform.</w:t>
      </w:r>
    </w:p>
    <w:p w14:paraId="4B5B4721" w14:textId="77777777" w:rsidR="009E6CB4" w:rsidRDefault="009E6CB4" w:rsidP="00BC4BCB">
      <w:pPr>
        <w:jc w:val="both"/>
      </w:pPr>
    </w:p>
    <w:p w14:paraId="07C494F5" w14:textId="163B1DF3" w:rsidR="009E6CB4" w:rsidRDefault="009E6CB4" w:rsidP="00BC4BCB">
      <w:pPr>
        <w:jc w:val="both"/>
      </w:pPr>
      <w:r>
        <w:t xml:space="preserve">By the way, TAR is a good example of the bottom up engagement and content input that civil society could bring to the public debate and policy making in Albania. Shtetiweb team </w:t>
      </w:r>
      <w:r w:rsidR="00D94028">
        <w:t>interviewed</w:t>
      </w:r>
      <w:r>
        <w:t xml:space="preserve"> 250 individual</w:t>
      </w:r>
      <w:r w:rsidR="00D94028">
        <w:t>s</w:t>
      </w:r>
      <w:r>
        <w:t xml:space="preserve"> all over </w:t>
      </w:r>
      <w:r w:rsidR="00D94028">
        <w:t xml:space="preserve">12 qarks </w:t>
      </w:r>
      <w:r>
        <w:t xml:space="preserve">Albania </w:t>
      </w:r>
      <w:r w:rsidR="00D94028">
        <w:t>and produced what we called the popular map of the new LGUs, which was also presented before the Parliament during the public consultation period.</w:t>
      </w:r>
    </w:p>
    <w:p w14:paraId="7BA14580" w14:textId="77777777" w:rsidR="00A11EEF" w:rsidRDefault="00A11EEF" w:rsidP="00BC4BCB">
      <w:pPr>
        <w:jc w:val="both"/>
      </w:pPr>
    </w:p>
    <w:p w14:paraId="74F43AFB" w14:textId="1D8245B1" w:rsidR="00A11EEF" w:rsidRDefault="00A11EEF" w:rsidP="00BC4BCB">
      <w:pPr>
        <w:jc w:val="both"/>
      </w:pPr>
      <w:r>
        <w:t>During the consultation of the TAR version of Shtetiweb</w:t>
      </w:r>
      <w:r w:rsidR="001B40D0">
        <w:t xml:space="preserve"> in April 2014</w:t>
      </w:r>
      <w:r>
        <w:t>, we had up to 5,000 visits per day. After TAR, the most visited subject are Public Administration, Lessons, EU Integration and History of the Albanian State.</w:t>
      </w:r>
    </w:p>
    <w:p w14:paraId="42611D36" w14:textId="77777777" w:rsidR="00D94028" w:rsidRDefault="00D94028" w:rsidP="00BC4BCB">
      <w:pPr>
        <w:jc w:val="both"/>
      </w:pPr>
    </w:p>
    <w:p w14:paraId="53C7DDDE" w14:textId="0B8A84B1" w:rsidR="00D81E4F" w:rsidRDefault="00D81E4F" w:rsidP="00BC4BCB">
      <w:pPr>
        <w:jc w:val="both"/>
      </w:pPr>
      <w:r>
        <w:t xml:space="preserve">CuriaWeb is the public platform where issues affecting </w:t>
      </w:r>
      <w:r w:rsidR="00F34FA2">
        <w:t>policymaking</w:t>
      </w:r>
      <w:r>
        <w:t xml:space="preserve"> and state reform are presented, discussed and consulted with the public. We have successfully completed two public e-consultations processes regarding:</w:t>
      </w:r>
    </w:p>
    <w:p w14:paraId="22AA754A" w14:textId="00692D48" w:rsidR="00D94028" w:rsidRDefault="00D81E4F" w:rsidP="00BC4BCB">
      <w:pPr>
        <w:pStyle w:val="ListParagraph"/>
        <w:numPr>
          <w:ilvl w:val="0"/>
          <w:numId w:val="1"/>
        </w:numPr>
        <w:jc w:val="both"/>
      </w:pPr>
      <w:r>
        <w:t xml:space="preserve">regional cooperation in the case Albania - Kosovo whose Green Paper was used by the governments in their January </w:t>
      </w:r>
      <w:r w:rsidR="00BC4BCB">
        <w:t>2014 meeting in Prizren</w:t>
      </w:r>
      <w:r>
        <w:t>,</w:t>
      </w:r>
    </w:p>
    <w:p w14:paraId="4B739F67" w14:textId="0E798C21" w:rsidR="00D81E4F" w:rsidRDefault="00D81E4F" w:rsidP="00BC4BCB">
      <w:pPr>
        <w:pStyle w:val="ListParagraph"/>
        <w:numPr>
          <w:ilvl w:val="0"/>
          <w:numId w:val="1"/>
        </w:numPr>
        <w:jc w:val="both"/>
      </w:pPr>
      <w:r>
        <w:t xml:space="preserve">constitutional reform in Albania, whose Green Paper was a very important input for the </w:t>
      </w:r>
      <w:r w:rsidR="005E270A">
        <w:t>civil society debate, such as the one supported by SOROS foundation.</w:t>
      </w:r>
    </w:p>
    <w:p w14:paraId="761E9651" w14:textId="77777777" w:rsidR="005E270A" w:rsidRDefault="005E270A" w:rsidP="00BC4BCB">
      <w:pPr>
        <w:jc w:val="both"/>
      </w:pPr>
    </w:p>
    <w:p w14:paraId="68017446" w14:textId="03BB7CEC" w:rsidR="005E270A" w:rsidRDefault="00F34FA2" w:rsidP="00BC4BCB">
      <w:pPr>
        <w:jc w:val="both"/>
      </w:pPr>
      <w:r>
        <w:t>The last band purports to show the past and the future of the Albanian state as punctuated by major events, ground breaking debates and the European Integration.</w:t>
      </w:r>
    </w:p>
    <w:p w14:paraId="3BB96F73" w14:textId="77777777" w:rsidR="00D00B07" w:rsidRDefault="00D00B07" w:rsidP="00BC4BCB">
      <w:pPr>
        <w:jc w:val="both"/>
      </w:pPr>
    </w:p>
    <w:p w14:paraId="2CFFD59D" w14:textId="77777777" w:rsidR="00D00B07" w:rsidRDefault="00D00B07" w:rsidP="00BC4BCB">
      <w:pPr>
        <w:jc w:val="both"/>
      </w:pPr>
    </w:p>
    <w:p w14:paraId="6DB2AD91" w14:textId="77777777" w:rsidR="00D00B07" w:rsidRDefault="00D00B07" w:rsidP="00BC4BCB">
      <w:pPr>
        <w:jc w:val="both"/>
      </w:pPr>
    </w:p>
    <w:p w14:paraId="53F573EE" w14:textId="5B9983C1" w:rsidR="00D00B07" w:rsidRDefault="00D00B07" w:rsidP="00BC4BCB">
      <w:pPr>
        <w:jc w:val="both"/>
      </w:pPr>
      <w:r>
        <w:t>THE REPOSITORY</w:t>
      </w:r>
    </w:p>
    <w:p w14:paraId="1F1DF700" w14:textId="77777777" w:rsidR="00D00B07" w:rsidRDefault="00D00B07" w:rsidP="00BC4BCB">
      <w:pPr>
        <w:jc w:val="both"/>
      </w:pPr>
    </w:p>
    <w:p w14:paraId="2B606B44" w14:textId="0524C124" w:rsidR="00D00B07" w:rsidRDefault="00B839E6" w:rsidP="00BC4BCB">
      <w:pPr>
        <w:jc w:val="both"/>
      </w:pPr>
      <w:r>
        <w:t xml:space="preserve">The REPO space is dedicated to public policy </w:t>
      </w:r>
      <w:r w:rsidR="00BC4BCB">
        <w:t xml:space="preserve">and related </w:t>
      </w:r>
      <w:r>
        <w:t>documents, organised by level of hierarchy and searchable by type of document, policy field, reference period and the Issuing / Supporting entity.</w:t>
      </w:r>
    </w:p>
    <w:p w14:paraId="67588B1E" w14:textId="77777777" w:rsidR="00B839E6" w:rsidRDefault="00B839E6" w:rsidP="00BC4BCB">
      <w:pPr>
        <w:jc w:val="both"/>
      </w:pPr>
    </w:p>
    <w:p w14:paraId="3D73563C" w14:textId="1CC0CB30" w:rsidR="00B839E6" w:rsidRDefault="00DF2445" w:rsidP="00BC4BCB">
      <w:pPr>
        <w:jc w:val="both"/>
      </w:pPr>
      <w:r>
        <w:t>To build the typology and architecture, w</w:t>
      </w:r>
      <w:r w:rsidR="00B839E6">
        <w:t xml:space="preserve">e used the Integrated Planning System </w:t>
      </w:r>
      <w:r>
        <w:t xml:space="preserve">and its three main pillars: </w:t>
      </w:r>
      <w:r w:rsidR="00B839E6">
        <w:t>National Strategy</w:t>
      </w:r>
      <w:r>
        <w:t xml:space="preserve"> of Development and Integration; the Medium-Term Budget Programming and External Assistance.</w:t>
      </w:r>
    </w:p>
    <w:p w14:paraId="70D19A3C" w14:textId="77777777" w:rsidR="00DF2445" w:rsidRDefault="00DF2445" w:rsidP="00BC4BCB">
      <w:pPr>
        <w:jc w:val="both"/>
      </w:pPr>
    </w:p>
    <w:p w14:paraId="6B1C8E8C" w14:textId="012209B3" w:rsidR="00DF2445" w:rsidRDefault="00DF2445" w:rsidP="00BC4BCB">
      <w:pPr>
        <w:pStyle w:val="ListParagraph"/>
        <w:numPr>
          <w:ilvl w:val="0"/>
          <w:numId w:val="2"/>
        </w:numPr>
        <w:jc w:val="both"/>
      </w:pPr>
      <w:r>
        <w:t xml:space="preserve">Inside each </w:t>
      </w:r>
      <w:r w:rsidRPr="00DF2445">
        <w:rPr>
          <w:u w:val="single"/>
        </w:rPr>
        <w:t>NSDI (or NSSED)</w:t>
      </w:r>
      <w:r w:rsidR="00BC4BCB">
        <w:t xml:space="preserve"> box, we have classified the Sector Strategies, Policy D</w:t>
      </w:r>
      <w:r>
        <w:t>ocuments,</w:t>
      </w:r>
      <w:r w:rsidR="00BC4BCB">
        <w:t xml:space="preserve"> Strategy D</w:t>
      </w:r>
      <w:r>
        <w:t>ocuments and Project Assistance Matrix. The NSDI box is complemented by the yearly Progress Reports and the respective Legal base.</w:t>
      </w:r>
    </w:p>
    <w:p w14:paraId="438C9F55" w14:textId="77777777" w:rsidR="00DF2445" w:rsidRDefault="00DF2445" w:rsidP="00BC4BCB">
      <w:pPr>
        <w:jc w:val="both"/>
      </w:pPr>
    </w:p>
    <w:p w14:paraId="04C94604" w14:textId="206265C9" w:rsidR="00DF2445" w:rsidRDefault="00DF2445" w:rsidP="00BC4BCB">
      <w:pPr>
        <w:pStyle w:val="ListParagraph"/>
        <w:numPr>
          <w:ilvl w:val="0"/>
          <w:numId w:val="2"/>
        </w:numPr>
        <w:jc w:val="both"/>
      </w:pPr>
      <w:r>
        <w:t xml:space="preserve">In the </w:t>
      </w:r>
      <w:r w:rsidRPr="00DF2445">
        <w:rPr>
          <w:u w:val="single"/>
        </w:rPr>
        <w:t>External Assistance</w:t>
      </w:r>
      <w:r>
        <w:t xml:space="preserve"> pillar, we have presented External Assistance Orientation Document and the Progress Reports for Foreign Assistance.</w:t>
      </w:r>
    </w:p>
    <w:p w14:paraId="2CA3BBA5" w14:textId="77777777" w:rsidR="00DF2445" w:rsidRDefault="00DF2445" w:rsidP="00BC4BCB">
      <w:pPr>
        <w:jc w:val="both"/>
      </w:pPr>
    </w:p>
    <w:p w14:paraId="79E79660" w14:textId="115DF7EC" w:rsidR="00DF2445" w:rsidRDefault="00DF2445" w:rsidP="00BC4BCB">
      <w:pPr>
        <w:pStyle w:val="ListParagraph"/>
        <w:numPr>
          <w:ilvl w:val="0"/>
          <w:numId w:val="2"/>
        </w:numPr>
        <w:jc w:val="both"/>
      </w:pPr>
      <w:r>
        <w:t xml:space="preserve">In the </w:t>
      </w:r>
      <w:r>
        <w:rPr>
          <w:u w:val="single"/>
        </w:rPr>
        <w:t>MTB</w:t>
      </w:r>
      <w:r w:rsidRPr="00DF2445">
        <w:rPr>
          <w:u w:val="single"/>
        </w:rPr>
        <w:t>P</w:t>
      </w:r>
      <w:r>
        <w:t xml:space="preserve"> we have put the Budget document.</w:t>
      </w:r>
    </w:p>
    <w:p w14:paraId="196E9357" w14:textId="77777777" w:rsidR="00DF2445" w:rsidRDefault="00DF2445" w:rsidP="00BC4BCB">
      <w:pPr>
        <w:jc w:val="both"/>
      </w:pPr>
    </w:p>
    <w:p w14:paraId="4916D5D9" w14:textId="3CFE8A8D" w:rsidR="004B5C69" w:rsidRDefault="004B1A2B" w:rsidP="00BC4BCB">
      <w:pPr>
        <w:jc w:val="both"/>
      </w:pPr>
      <w:r>
        <w:t>The Integrated Planning</w:t>
      </w:r>
      <w:r w:rsidR="004B5C69">
        <w:t xml:space="preserve"> System box, includes the R</w:t>
      </w:r>
      <w:r>
        <w:t xml:space="preserve">oad Map and Technical Assistance Plan (including the </w:t>
      </w:r>
      <w:r w:rsidR="004B5C69">
        <w:t>IPS Communication Strategy, etc); the Rationale; and the Legal Base.</w:t>
      </w:r>
    </w:p>
    <w:p w14:paraId="05238B7F" w14:textId="77777777" w:rsidR="00A37824" w:rsidRDefault="00A37824" w:rsidP="00BC4BCB">
      <w:pPr>
        <w:jc w:val="both"/>
      </w:pPr>
    </w:p>
    <w:p w14:paraId="3FAB4D32" w14:textId="11DAC91C" w:rsidR="00A37824" w:rsidRDefault="00A37824" w:rsidP="00BC4BCB">
      <w:pPr>
        <w:jc w:val="both"/>
      </w:pPr>
      <w:r>
        <w:t>According to the search</w:t>
      </w:r>
      <w:r w:rsidR="00BC4BCB">
        <w:t xml:space="preserve"> goal</w:t>
      </w:r>
      <w:r>
        <w:t xml:space="preserve">, REPO gives you the documents that satisfy the criteria. The added value of REPO hierarchical organisation and of the ShtetiWeb-wide archive, is the </w:t>
      </w:r>
      <w:r w:rsidR="008A1EAE">
        <w:t xml:space="preserve">reference of end-result with related documents (from IPS system) and the </w:t>
      </w:r>
      <w:r>
        <w:t xml:space="preserve">cross-link </w:t>
      </w:r>
      <w:r w:rsidR="008A1EAE">
        <w:t>with other documents in ShtetiWeb.</w:t>
      </w:r>
    </w:p>
    <w:p w14:paraId="3CBE475D" w14:textId="77777777" w:rsidR="004B5C69" w:rsidRDefault="004B5C69" w:rsidP="00BC4BCB">
      <w:pPr>
        <w:jc w:val="both"/>
      </w:pPr>
    </w:p>
    <w:p w14:paraId="5C6F2414" w14:textId="7799C160" w:rsidR="00047251" w:rsidRDefault="00170E12" w:rsidP="00BC4BCB">
      <w:pPr>
        <w:jc w:val="both"/>
      </w:pPr>
      <w:r>
        <w:t>During our identification and classification of documents, we observed that a very significant portion of them were supported by donors, and were “known” or referred as such. So we have included a search variable referring to Supporting Authority. This needs still significant work and we would be grateful to receive any such document that you may have in your archives.</w:t>
      </w:r>
    </w:p>
    <w:p w14:paraId="4D9F6053" w14:textId="77777777" w:rsidR="00A37824" w:rsidRDefault="00A37824" w:rsidP="00BC4BCB">
      <w:pPr>
        <w:jc w:val="both"/>
      </w:pPr>
    </w:p>
    <w:p w14:paraId="0FF71628" w14:textId="7EAE3B14" w:rsidR="008A1EAE" w:rsidRDefault="008A1EAE" w:rsidP="00BC4BCB">
      <w:pPr>
        <w:jc w:val="both"/>
      </w:pPr>
      <w:r>
        <w:t>As other findings during this phase we may mention the need for a unifying format of public policy documents; the difficulty of classification in the case when the name of institution has changed over time; sometimes the absence of any follow-up analysis for certain policies, etc.</w:t>
      </w:r>
    </w:p>
    <w:p w14:paraId="00956772" w14:textId="77777777" w:rsidR="008A1EAE" w:rsidRDefault="008A1EAE" w:rsidP="00BC4BCB">
      <w:pPr>
        <w:jc w:val="both"/>
      </w:pPr>
    </w:p>
    <w:p w14:paraId="763F2F15" w14:textId="1161E9AE" w:rsidR="00A37824" w:rsidRDefault="00A37824" w:rsidP="00BC4BCB">
      <w:pPr>
        <w:jc w:val="both"/>
      </w:pPr>
      <w:r>
        <w:t xml:space="preserve">The REPO contains now </w:t>
      </w:r>
      <w:r w:rsidR="008A1EAE">
        <w:t>182 documents and going</w:t>
      </w:r>
      <w:r w:rsidR="00BC4BCB">
        <w:t xml:space="preserve"> up</w:t>
      </w:r>
      <w:r w:rsidR="008A1EAE">
        <w:t>. The next challenges are:</w:t>
      </w:r>
    </w:p>
    <w:p w14:paraId="4785DFED" w14:textId="4395C340" w:rsidR="008A1EAE" w:rsidRDefault="008A1EAE" w:rsidP="00BC4BCB">
      <w:pPr>
        <w:pStyle w:val="ListParagraph"/>
        <w:numPr>
          <w:ilvl w:val="0"/>
          <w:numId w:val="3"/>
        </w:numPr>
        <w:jc w:val="both"/>
      </w:pPr>
      <w:r>
        <w:t>Enrichment with more documents from before 2007;</w:t>
      </w:r>
    </w:p>
    <w:p w14:paraId="2B5DFF30" w14:textId="584A9F13" w:rsidR="008A1EAE" w:rsidRDefault="008A1EAE" w:rsidP="00BC4BCB">
      <w:pPr>
        <w:pStyle w:val="ListParagraph"/>
        <w:numPr>
          <w:ilvl w:val="0"/>
          <w:numId w:val="3"/>
        </w:numPr>
        <w:jc w:val="both"/>
      </w:pPr>
      <w:r>
        <w:t>Refining of the cross-linking amongst policy documents and articles, lessons, analysis, etc;</w:t>
      </w:r>
    </w:p>
    <w:p w14:paraId="744E6128" w14:textId="0B60E2D7" w:rsidR="00BC4BCB" w:rsidRDefault="00BC4BCB" w:rsidP="00BC4BCB">
      <w:pPr>
        <w:pStyle w:val="ListParagraph"/>
        <w:numPr>
          <w:ilvl w:val="0"/>
          <w:numId w:val="3"/>
        </w:numPr>
        <w:jc w:val="both"/>
      </w:pPr>
      <w:r>
        <w:t>Translation in English language for selected documents</w:t>
      </w:r>
    </w:p>
    <w:p w14:paraId="34706E77" w14:textId="7D1D7715" w:rsidR="008A1EAE" w:rsidRDefault="008A1EAE" w:rsidP="00BC4BCB">
      <w:pPr>
        <w:jc w:val="both"/>
      </w:pPr>
    </w:p>
    <w:p w14:paraId="22768134" w14:textId="30F3B2EF" w:rsidR="008A1EAE" w:rsidRDefault="008A1EAE" w:rsidP="00BC4BCB">
      <w:pPr>
        <w:jc w:val="both"/>
      </w:pPr>
      <w:r>
        <w:t xml:space="preserve">I would like to end </w:t>
      </w:r>
      <w:r w:rsidR="00A34829">
        <w:t xml:space="preserve">that we would never have been able to arrive here without the support of the </w:t>
      </w:r>
      <w:r w:rsidR="0016756F">
        <w:t xml:space="preserve">Department for Development Policy, Financing and Foreign Aid, whose Director Ms. Majlinda Dhuka I take the opportunity to thank in person. </w:t>
      </w:r>
      <w:r w:rsidR="00364DB7">
        <w:t>Extremely valuable has been the continuous contribution of the Director of Strategic Planification Unit, Ms. Oriana Arapi regarding the methodology and identification of key documents.</w:t>
      </w:r>
    </w:p>
    <w:p w14:paraId="3AAD99D7" w14:textId="77777777" w:rsidR="00364DB7" w:rsidRDefault="00364DB7" w:rsidP="00BC4BCB">
      <w:pPr>
        <w:jc w:val="both"/>
      </w:pPr>
    </w:p>
    <w:p w14:paraId="10244EE6" w14:textId="231D75D1" w:rsidR="00364DB7" w:rsidRPr="004B0C49" w:rsidRDefault="00364DB7" w:rsidP="00BC4BCB">
      <w:pPr>
        <w:jc w:val="both"/>
      </w:pPr>
      <w:r>
        <w:t xml:space="preserve">The last word goes for our partners, the Swiss Cooperation Office which have been alongside us during this whole </w:t>
      </w:r>
      <w:r w:rsidR="00646D4A">
        <w:t>endeavour</w:t>
      </w:r>
      <w:r>
        <w:t>.</w:t>
      </w:r>
    </w:p>
    <w:sectPr w:rsidR="00364DB7" w:rsidRPr="004B0C49" w:rsidSect="004B3166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2C8E3" w14:textId="77777777" w:rsidR="00646D4A" w:rsidRDefault="00646D4A" w:rsidP="00646D4A">
      <w:r>
        <w:separator/>
      </w:r>
    </w:p>
  </w:endnote>
  <w:endnote w:type="continuationSeparator" w:id="0">
    <w:p w14:paraId="39925DB9" w14:textId="77777777" w:rsidR="00646D4A" w:rsidRDefault="00646D4A" w:rsidP="0064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151F4" w14:textId="77777777" w:rsidR="00646D4A" w:rsidRDefault="00646D4A" w:rsidP="002C2B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BDAF78" w14:textId="77777777" w:rsidR="00646D4A" w:rsidRDefault="00646D4A" w:rsidP="00646D4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FC0AE" w14:textId="77777777" w:rsidR="00646D4A" w:rsidRDefault="00646D4A" w:rsidP="002C2B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00F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45667F9" w14:textId="77777777" w:rsidR="00646D4A" w:rsidRDefault="00646D4A" w:rsidP="00646D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C52DD" w14:textId="77777777" w:rsidR="00646D4A" w:rsidRDefault="00646D4A" w:rsidP="00646D4A">
      <w:r>
        <w:separator/>
      </w:r>
    </w:p>
  </w:footnote>
  <w:footnote w:type="continuationSeparator" w:id="0">
    <w:p w14:paraId="7F1DDD0F" w14:textId="77777777" w:rsidR="00646D4A" w:rsidRDefault="00646D4A" w:rsidP="00646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7DD1"/>
    <w:multiLevelType w:val="hybridMultilevel"/>
    <w:tmpl w:val="1CC64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635F7"/>
    <w:multiLevelType w:val="hybridMultilevel"/>
    <w:tmpl w:val="1FEE5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D6DB7"/>
    <w:multiLevelType w:val="hybridMultilevel"/>
    <w:tmpl w:val="96EA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6D1B62"/>
    <w:multiLevelType w:val="hybridMultilevel"/>
    <w:tmpl w:val="89389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49"/>
    <w:rsid w:val="00047251"/>
    <w:rsid w:val="00155604"/>
    <w:rsid w:val="0016756F"/>
    <w:rsid w:val="00170E12"/>
    <w:rsid w:val="001B40D0"/>
    <w:rsid w:val="00364DB7"/>
    <w:rsid w:val="004B0C49"/>
    <w:rsid w:val="004B1A2B"/>
    <w:rsid w:val="004B3166"/>
    <w:rsid w:val="004B5C69"/>
    <w:rsid w:val="00567CD7"/>
    <w:rsid w:val="005A0723"/>
    <w:rsid w:val="005E270A"/>
    <w:rsid w:val="005E7750"/>
    <w:rsid w:val="00646D4A"/>
    <w:rsid w:val="007700F4"/>
    <w:rsid w:val="00780C22"/>
    <w:rsid w:val="008A1EAE"/>
    <w:rsid w:val="009E6CB4"/>
    <w:rsid w:val="00A11EEF"/>
    <w:rsid w:val="00A34829"/>
    <w:rsid w:val="00A37824"/>
    <w:rsid w:val="00A6765B"/>
    <w:rsid w:val="00B10356"/>
    <w:rsid w:val="00B839E6"/>
    <w:rsid w:val="00BC4BCB"/>
    <w:rsid w:val="00BC57EA"/>
    <w:rsid w:val="00D00B07"/>
    <w:rsid w:val="00D81E4F"/>
    <w:rsid w:val="00D94028"/>
    <w:rsid w:val="00DF2445"/>
    <w:rsid w:val="00E76D2E"/>
    <w:rsid w:val="00EA6DD2"/>
    <w:rsid w:val="00EB1A01"/>
    <w:rsid w:val="00F34FA2"/>
    <w:rsid w:val="00F740D3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B132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70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46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D4A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46D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70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46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D4A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46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1061</Words>
  <Characters>6051</Characters>
  <Application>Microsoft Macintosh Word</Application>
  <DocSecurity>0</DocSecurity>
  <Lines>50</Lines>
  <Paragraphs>14</Paragraphs>
  <ScaleCrop>false</ScaleCrop>
  <Company>private</Company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Ardian Hackaj</dc:creator>
  <cp:keywords/>
  <dc:description/>
  <cp:lastModifiedBy>Ardian Hackaj</cp:lastModifiedBy>
  <cp:revision>2</cp:revision>
  <dcterms:created xsi:type="dcterms:W3CDTF">2014-09-23T08:53:00Z</dcterms:created>
  <dcterms:modified xsi:type="dcterms:W3CDTF">2014-09-23T08:53:00Z</dcterms:modified>
</cp:coreProperties>
</file>